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MINISTARSTVO ZNANOSTI, OBRAZOVANJA I SPORTA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Na temelju članka 86. stavka 3. </w:t>
      </w:r>
      <w:hyperlink r:id="rId4" w:history="1">
        <w:r w:rsidRPr="00316842">
          <w:rPr>
            <w:rStyle w:val="Hiperveza"/>
            <w:rFonts w:ascii="Times New Roman" w:hAnsi="Times New Roman" w:cs="Times New Roman"/>
            <w:b/>
            <w:bCs/>
          </w:rPr>
          <w:t>Zakona o odgoju i obrazovanju u osnovnoj i srednjoj školi</w:t>
        </w:r>
      </w:hyperlink>
      <w:r w:rsidRPr="00316842">
        <w:rPr>
          <w:rFonts w:ascii="Times New Roman" w:hAnsi="Times New Roman" w:cs="Times New Roman"/>
        </w:rPr>
        <w:t> (»Narodne novine«, broj 87/08., 86/09., 92/10., 105/10. – ispravak, 90/11., 16/12., 86/12., 94/13. i 152/14.), ministar znanosti, obrazovanja i sporta donosi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 </w:t>
      </w:r>
    </w:p>
    <w:p w:rsidR="00316842" w:rsidRPr="00316842" w:rsidRDefault="00316842" w:rsidP="00316842">
      <w:pPr>
        <w:rPr>
          <w:rFonts w:ascii="Times New Roman" w:hAnsi="Times New Roman" w:cs="Times New Roman"/>
          <w:b/>
          <w:bCs/>
        </w:rPr>
      </w:pPr>
      <w:r w:rsidRPr="00316842">
        <w:rPr>
          <w:rFonts w:ascii="Times New Roman" w:hAnsi="Times New Roman" w:cs="Times New Roman"/>
          <w:b/>
          <w:bCs/>
        </w:rPr>
        <w:t>PRAVILNIK O KRITERIJIMA ZA IZRICANJE PEDAGOŠKIH MJERA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Pročišćeni tekst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NN </w:t>
      </w:r>
      <w:hyperlink r:id="rId5" w:history="1">
        <w:r w:rsidRPr="00316842">
          <w:rPr>
            <w:rStyle w:val="Hiperveza"/>
            <w:rFonts w:ascii="Times New Roman" w:hAnsi="Times New Roman" w:cs="Times New Roman"/>
            <w:b/>
            <w:bCs/>
          </w:rPr>
          <w:t>94/15</w:t>
        </w:r>
      </w:hyperlink>
      <w:r w:rsidRPr="00316842">
        <w:rPr>
          <w:rFonts w:ascii="Times New Roman" w:hAnsi="Times New Roman" w:cs="Times New Roman"/>
        </w:rPr>
        <w:t>, </w:t>
      </w:r>
      <w:hyperlink r:id="rId6" w:history="1">
        <w:r w:rsidRPr="00316842">
          <w:rPr>
            <w:rStyle w:val="Hiperveza"/>
            <w:rFonts w:ascii="Times New Roman" w:hAnsi="Times New Roman" w:cs="Times New Roman"/>
            <w:b/>
            <w:bCs/>
          </w:rPr>
          <w:t>03/17</w:t>
        </w:r>
      </w:hyperlink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1.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Ovim pravilnikom propisuju se kriteriji za izricanje pedagoških mjera učenicima osnovnih i srednjih škola.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Izricanje pedagoških mjera temelji se na principima postupnosti, proporcionalnosti, pravednosti i pravodobnosti.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(4) Pedagoške mjere izriču se zbog povrede dužnosti, neispunjavanja obveza, nasilničkog ponašanja i drugih neprimjerenih ponašanja (u daljnjem tekstu: neprihvatljiva ponašanja).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(5) Pedagoške mjere za koje se utvrđuju kriteriji u: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a) osnovnoj školi su: opomena, ukor, strogi ukor i preseljenje u drugu školu,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b) srednjoj školi su: opomena, ukor, opomena pred isključenje i isključenje iz srednje škole.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(6) Pedagoške mjere izriču se prema težini neprihvatljivog ponašanja.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2.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3.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Neprihvatljiva ponašanja na temelju kojih se izriču pedagoške mjere iz članka 1. stavka 5. ovoga pravilnika podijeljena su ovisno o težini na: lakša, teža, teška i osobito teška.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Lakšim neprihvatljivim ponašanjima iz stavka 1. ovoga članka smatra se: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a) ometanje odgojno-obrazovnoga rada (npr. izazivanje nereda, stvaranje buke, pričanje nakon usmene opomene učitelja/nastavnika ili dovikivanje tijekom odgojno-obrazovnoga rada);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lastRenderedPageBreak/>
        <w:t>b) onečišćenje školskoga prostora i okoliša (npr. bacanje smeća izvan koševa za otpatke);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c) oštećivanje imovine u prostorima škole ili na drugome mjestu gdje se održava odgojno-obrazovni rad nanošenjem manje štete (npr. šaranje, urezivanje u namještaj);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d) nedopušteno korištenje informacijsko-komunikacijskih uređaja tijekom odgojno-obrazovnoga rada;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e) pomaganje ili poticanje ulaska neovlaštenih osoba u školski prostor;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f) poticanje drugih učenika na neprihvatljiva ponašanja;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g) uznemiravanje učenika ili radnika škole odnosno druge aktivnosti koje izazivaju nelagodu u drugih osoba, nakon što je učenik na to upozoren;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h) korištenje nedopuštenih izvora podataka u svrhu prepisivanja.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Težim neprihvatljivim ponašanjima iz stavka 1. ovoga članka smatra se: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a) ometanje odgojno-obrazovnoga rada na način da je onemogućeno njegovo daljnje izvođenje;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b) povreda dostojanstva druge osobe omalovažavanjem, vrijeđanjem ili širenjem neistina i glasina o drugome učeniku ili radniku škole;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 xml:space="preserve">c) unošenje ili konzumiranje </w:t>
      </w:r>
      <w:proofErr w:type="spellStart"/>
      <w:r w:rsidRPr="00316842">
        <w:rPr>
          <w:rFonts w:ascii="Times New Roman" w:hAnsi="Times New Roman" w:cs="Times New Roman"/>
        </w:rPr>
        <w:t>psihoaktivnih</w:t>
      </w:r>
      <w:proofErr w:type="spellEnd"/>
      <w:r w:rsidRPr="00316842">
        <w:rPr>
          <w:rFonts w:ascii="Times New Roman" w:hAnsi="Times New Roman" w:cs="Times New Roman"/>
        </w:rPr>
        <w:t xml:space="preserve"> sredstava u prostor škole ili na drugo mjesto gdje se održava odgojno-obrazovni rad;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d) dovođenje ili pomaganje prilikom dolaska neovlaštenim osobama koje su nanijele štetu osobama ili imovini u prostoru škole ili na drugome mjestu gdje se održava odgojno-obrazovni rad;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e) namjerno uništavanje imovine nanošenjem veće štete u prostoru škole ili na drugome mjestu gdje se održava odgojno-obrazovni rad;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f) prikrivanje nasilnih oblika ponašanja;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g) udaranje, sudjelovanje u tučnjavi i druga ponašanja koja mogu ugroziti sigurnost samog učenika ili druge osobe, ali bez težih posljedica;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h) korištenje ili zlouporaba podataka drugog učenika iz pedagoške dokumentacije;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i) klađenje ili kockanje u prostorima škole ili na drugome mjestu gdje se održava odgojno-obrazovni rad;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j) prisvajanje tuđe stvari.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(4) Teškim neprihvatljivim ponašanjima iz stavka 1. ovoga članka smatra se: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b) nasilno ponašanje koje nije rezultiralo težim posljedicama;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c) krivotvorenje ispričnica ili ispitnih materijala;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d) neovlašteno korištenje tuđih podataka za pristup elektroničkim bazama podataka škole bez njihove izmjene;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e) krađa tuđe stvari;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f) poticanje grupnoga govora mržnje;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lastRenderedPageBreak/>
        <w:t>g) uništavanje službene dokumentacije škole;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h) prisila drugog učenika na neprihvatljivo ponašanje ili iznuda drugog učenika (npr. iznuđivanje novca);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i) unošenje oružja i opasnih predmeta u prostor škole ili drugdje gdje se održava odgojno-obrazovni rad.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(5) Osobito teškim neprihvatljivim ponašanjima iz stavka 1. ovoga članka smatra se: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a) krivotvorenje pisane ili elektroničke službene dokumentacije škole;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b) objavljivanje materijala elektroničkim ili drugim putem, a koji za posljedicu imaju povredu ugleda, časti i dostojanstva druge osobe;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c) teška krađa odnosno krađa počinjena na opasan ili drzak način, obijanjem, provaljivanjem ili svladavanjem prepreka da se dođe do stvari;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d) ugrožavanje sigurnosti učenika ili radnika škole korištenjem oružja ili opasnih predmeta u prostoru škole ili na drugome mjestu gdje se održava odgojno-obrazovni rad;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e) nasilno ponašanje koje je rezultiralo teškim emocionalnim ili fizičkim posljedicama za drugu osobu.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4. (NN </w:t>
      </w:r>
      <w:hyperlink r:id="rId7" w:history="1">
        <w:r w:rsidRPr="00316842">
          <w:rPr>
            <w:rStyle w:val="Hiperveza"/>
            <w:rFonts w:ascii="Times New Roman" w:hAnsi="Times New Roman" w:cs="Times New Roman"/>
            <w:b/>
            <w:bCs/>
          </w:rPr>
          <w:t>03/17</w:t>
        </w:r>
      </w:hyperlink>
      <w:r w:rsidRPr="00316842">
        <w:rPr>
          <w:rFonts w:ascii="Times New Roman" w:hAnsi="Times New Roman" w:cs="Times New Roman"/>
        </w:rPr>
        <w:t>)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Pedagoška mjera izriče se i zbog neopravdanih izostanaka s nastave.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Izostanak s nastave, u slučaju pravodobnog zahtjeva roditelja, može odobriti: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– učitelj/nastavnik za izostanak tijekom nastavnoga dana,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– razrednik za izostanak do tri (pojedinačna ili uzastopna) radna dana,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– ravnatelj za izostanak do sedam (uzastopnih) radnih dana,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– učiteljsko/nastavničko vijeće za izostanak do petnaest (uzastopnih) radnih dana.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(4) Opravdanost izostanka s nastave zbog zdravstvenih razloga u trajanju duljem od tri radna dana uzastopno dokazuje se liječničkom potvrdom.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(6) Neopravdanim izostankom smatra se izostanak koji nije odobren ili opravdan sukladno odredbama stavka 2., 3., 4. i 5. ovoga članka.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(7) Načini opravdavanja izostanaka učenika i primjereni rok javljanja o razlogu izostanka uređuju se statutom škole.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5.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lastRenderedPageBreak/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Mjera se može izreći i bez izjašnjavanja učenika ako se učenik bez opravdanoga razloga ne odazove pozivu razrednika ili druge ovlaštene osobe.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(4) Mjera se može izreći i bez informiranja roditelja, što je propisano stavkom 2. ovoga članka, ako se roditelj ne odazove ni pisanom pozivu na razgovor.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(5) Pedagoška mjera opomene i ukora mora se izreći najkasnije u roku od 15 dana od dana saznanja za neprihvatljivo ponašanje učenika zbog kojeg se izriče.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6.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7.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Pedagoška mjera opomene izriče se nakon drugog evidentiranog lakšeg neprihvatljivog ponašanja iz članka 3. stavka 2. ovoga pravilnika ili u slučaju da je učenik neopravdano izostao više od 0,5% nastavni</w:t>
      </w:r>
      <w:bookmarkStart w:id="0" w:name="_GoBack"/>
      <w:bookmarkEnd w:id="0"/>
      <w:r w:rsidRPr="00316842">
        <w:rPr>
          <w:rFonts w:ascii="Times New Roman" w:hAnsi="Times New Roman" w:cs="Times New Roman"/>
        </w:rPr>
        <w:t>h sati od ukupnoga broja sati u koje je trebao biti uključen tijekom nastavne godine.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lastRenderedPageBreak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8.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9.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Škole su dužne uskladiti odredbe statuta s odredbama ovoga pravilnika u roku od 60 dana od dana njegova stupanja na snagu.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10.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Ovaj pravilnik stupa na snagu osmoga dana od dana objave u »Narodnim novinama«.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Klasa: 602-02/15-06/00087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proofErr w:type="spellStart"/>
      <w:r w:rsidRPr="00316842">
        <w:rPr>
          <w:rFonts w:ascii="Times New Roman" w:hAnsi="Times New Roman" w:cs="Times New Roman"/>
        </w:rPr>
        <w:t>Urbroj</w:t>
      </w:r>
      <w:proofErr w:type="spellEnd"/>
      <w:r w:rsidRPr="00316842">
        <w:rPr>
          <w:rFonts w:ascii="Times New Roman" w:hAnsi="Times New Roman" w:cs="Times New Roman"/>
        </w:rPr>
        <w:t>: 533-25-15-0008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Zagreb, 31. kolovoza 2015.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Prijelazne i završne odredbe iz NN 03/17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Članak 2.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Ovaj pravilnik stupa na snagu osmoga dana od dana objave u »Narodnim novinama«.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Klasa: 602-01/16-01/00635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proofErr w:type="spellStart"/>
      <w:r w:rsidRPr="00316842">
        <w:rPr>
          <w:rFonts w:ascii="Times New Roman" w:hAnsi="Times New Roman" w:cs="Times New Roman"/>
        </w:rPr>
        <w:t>Urbroj</w:t>
      </w:r>
      <w:proofErr w:type="spellEnd"/>
      <w:r w:rsidRPr="00316842">
        <w:rPr>
          <w:rFonts w:ascii="Times New Roman" w:hAnsi="Times New Roman" w:cs="Times New Roman"/>
        </w:rPr>
        <w:t>: 533-28-16-0001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lastRenderedPageBreak/>
        <w:t>Zagreb, 28. prosinca 2016.</w:t>
      </w:r>
    </w:p>
    <w:p w:rsidR="00316842" w:rsidRPr="00316842" w:rsidRDefault="00316842" w:rsidP="00316842">
      <w:pPr>
        <w:rPr>
          <w:rFonts w:ascii="Times New Roman" w:hAnsi="Times New Roman" w:cs="Times New Roman"/>
        </w:rPr>
      </w:pPr>
      <w:r w:rsidRPr="00316842">
        <w:rPr>
          <w:rFonts w:ascii="Times New Roman" w:hAnsi="Times New Roman" w:cs="Times New Roman"/>
        </w:rPr>
        <w:t> </w:t>
      </w:r>
    </w:p>
    <w:p w:rsidR="007177F8" w:rsidRPr="00316842" w:rsidRDefault="007177F8">
      <w:pPr>
        <w:rPr>
          <w:rFonts w:ascii="Times New Roman" w:hAnsi="Times New Roman" w:cs="Times New Roman"/>
        </w:rPr>
      </w:pPr>
    </w:p>
    <w:sectPr w:rsidR="007177F8" w:rsidRPr="0031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2"/>
    <w:rsid w:val="00316842"/>
    <w:rsid w:val="007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6160-308A-406C-86A5-D41D4A8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6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8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179" TargetMode="External"/><Relationship Id="rId5" Type="http://schemas.openxmlformats.org/officeDocument/2006/relationships/hyperlink" Target="https://www.zakon.hr/cms.htm?id=13405" TargetMode="Externa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2023-02-10T11:19:00Z</dcterms:created>
  <dcterms:modified xsi:type="dcterms:W3CDTF">2023-02-10T11:20:00Z</dcterms:modified>
</cp:coreProperties>
</file>